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EB" w:rsidRDefault="00A07AEB" w:rsidP="00A07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по химии 10-11 классы (углубленный уровень)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7790"/>
      </w:tblGrid>
      <w:tr w:rsidR="00A07AEB" w:rsidTr="00E82A31">
        <w:tc>
          <w:tcPr>
            <w:tcW w:w="1986" w:type="dxa"/>
          </w:tcPr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курса  </w:t>
            </w: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</w:t>
            </w: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курса</w:t>
            </w: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bookmarkStart w:id="0" w:name="_GoBack"/>
            <w:bookmarkEnd w:id="0"/>
          </w:p>
        </w:tc>
        <w:tc>
          <w:tcPr>
            <w:tcW w:w="7790" w:type="dxa"/>
          </w:tcPr>
          <w:p w:rsidR="00A07AEB" w:rsidRPr="004A480C" w:rsidRDefault="00A07AEB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  <w:p w:rsidR="00A07AEB" w:rsidRPr="004A480C" w:rsidRDefault="00A07AEB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EB" w:rsidRPr="004A480C" w:rsidRDefault="00A07AEB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0C">
              <w:rPr>
                <w:rFonts w:ascii="Times New Roman" w:hAnsi="Times New Roman" w:cs="Times New Roman"/>
                <w:sz w:val="24"/>
                <w:szCs w:val="24"/>
              </w:rPr>
              <w:t>10-11(углубленный уровень)</w:t>
            </w:r>
          </w:p>
          <w:p w:rsidR="00A07AEB" w:rsidRPr="004A480C" w:rsidRDefault="00A07AEB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EB" w:rsidRPr="004A480C" w:rsidRDefault="00A07AEB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0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A07AEB" w:rsidRPr="004A480C" w:rsidRDefault="00A07AEB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EB" w:rsidRPr="004A480C" w:rsidRDefault="00A07AEB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 w:cs="Times New Roman"/>
                <w:sz w:val="24"/>
                <w:szCs w:val="24"/>
              </w:rPr>
              <w:t>Рябихина</w:t>
            </w:r>
            <w:proofErr w:type="spellEnd"/>
            <w:r w:rsidRPr="004A480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07AEB" w:rsidRPr="004A480C" w:rsidRDefault="00A07AEB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Личностные результаты освоения предмета «Химия» отражают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гражданского воспитания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осознания обучающимися своих конституционных прав и обязанностей, уважения к закону и правопорядку;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представления о социальных нормах и правилах межличностных отношений в коллективе;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 понимать и принимать мотивы, намерения, логику и аргументы других при анализе различных видов учебной деятельности;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патриотического воспитания: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ценностного отношения к историческому и научному наследию отечественной химии;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духовно-нравственного воспитания: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нравственного сознания, этического поведения;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4) формирования культуры здоровья: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соблюдения правил безопасного обращения с веществами в быту, повседневной жизни, в трудовой деятельности;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осознания последствий и неприятия вредных привычек (употребления алкоголя, наркотиков, курения);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5) трудового воспитания: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коммуникативной компетентности в учебно-исследовательской деятельности, общественно полезной, творческой и других видах деятельности;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установки на активное участие в решении практических задач социальной направленности (в рамках своего класса, школы);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интереса к практическому изучению профессий различного рода, в том числе на основе применения предметных знаний по химии;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уважения к труду, людям труда и результатам трудовой деятельности;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6) экологического воспитания: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 целесообразного отношения к природе как источнику существования жизни на Земле;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осознания необходимости использования достижений химии для решения вопросов рационального природопользования;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хемофобии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7) ценности научного познания: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мировоззрения, соответствующего современному уровню развития науки и общественной практики;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убеждённости в особой значимости химии для современной цивилизации: в её гуманистической направленности и важной роли в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 самостоятельно использовать химические знания для решения проблем в реальных жизненных ситуациях;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интереса к познанию, исследовательской деятельности;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интереса к особенностям труда в различных сферах профессиональной деятельности.</w:t>
            </w:r>
          </w:p>
          <w:p w:rsidR="00A07AEB" w:rsidRPr="004A480C" w:rsidRDefault="00A07AEB" w:rsidP="00E82A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A48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 РЕЗУЛЬТАТЫ</w:t>
            </w:r>
          </w:p>
          <w:p w:rsidR="00A07AEB" w:rsidRPr="004A480C" w:rsidRDefault="00A07AEB" w:rsidP="00E82A31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освоения программы по химии на уровне среднего общего образования включают: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значимые для формирования мировоззрения обучающихся междисциплинарные (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отражают овладение универсальными учебными познавательными, коммуникативными и регулятивными действиями.</w:t>
            </w:r>
          </w:p>
          <w:p w:rsidR="00A07AEB" w:rsidRPr="004A480C" w:rsidRDefault="00A07AEB" w:rsidP="00E82A31">
            <w:pPr>
              <w:spacing w:line="264" w:lineRule="auto"/>
              <w:ind w:left="120"/>
              <w:rPr>
                <w:sz w:val="24"/>
                <w:szCs w:val="24"/>
              </w:rPr>
            </w:pPr>
          </w:p>
          <w:p w:rsidR="00A07AEB" w:rsidRPr="004A480C" w:rsidRDefault="00A07AEB" w:rsidP="00E82A31">
            <w:pPr>
              <w:spacing w:line="264" w:lineRule="auto"/>
              <w:ind w:left="120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 универсальные учебные действия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базовые логические действия: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формулировать и актуализировать проблему, рассматривать её всесторонне;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деятельности, задавая параметры и критерии их достижения, соотносить результаты деятельности с поставленными целями;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выбирать основания и критерии для классификации веществ и химических реакций;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устанавливать причинно-следственные связи между изучаемыми явлениями;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в процессе </w:t>
            </w:r>
            <w:proofErr w:type="gram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познания</w:t>
            </w:r>
            <w:proofErr w:type="gram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базовые исследовательские действия: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владеть основами методов научного познания веществ и химических реакций;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работа с информацией: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приобретать опыт использования информационно-коммуникативных технологий и различных поисковых систем;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самостоятельно выбирать оптимальную форму представления информации (схемы, графики, диаграммы, таблицы, рисунки и другие);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научный язык в качестве средства при работе с химической информацией: применять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(физические и математические) знаки и символы, формулы, аббревиатуры, номенклатуру;</w:t>
            </w:r>
          </w:p>
          <w:p w:rsidR="00A07AEB" w:rsidRPr="004A480C" w:rsidRDefault="00A07AEB" w:rsidP="00E82A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 наглядности.</w:t>
            </w:r>
          </w:p>
          <w:p w:rsidR="00A07AEB" w:rsidRPr="004A480C" w:rsidRDefault="00A07AEB" w:rsidP="00E82A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A48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 универсальные учебные действия:</w:t>
            </w:r>
          </w:p>
          <w:p w:rsidR="00A07AEB" w:rsidRPr="004A480C" w:rsidRDefault="00A07AEB" w:rsidP="00E82A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      </w:r>
          </w:p>
          <w:p w:rsidR="00A07AEB" w:rsidRPr="004A480C" w:rsidRDefault="00A07AEB" w:rsidP="00E82A31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      </w:r>
          </w:p>
          <w:p w:rsidR="00A07AEB" w:rsidRPr="004A480C" w:rsidRDefault="00A07AEB" w:rsidP="00E82A31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A48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универсальные учебные действия:</w:t>
            </w:r>
          </w:p>
          <w:p w:rsidR="00A07AEB" w:rsidRPr="004A480C" w:rsidRDefault="00A07AEB" w:rsidP="00E82A31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      </w:r>
          </w:p>
          <w:p w:rsidR="00A07AEB" w:rsidRPr="004A480C" w:rsidRDefault="00A07AEB" w:rsidP="00E82A31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самоконтроль деятельности на основе самоанализа и самооценки.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 В программе по химии предметные результаты представлены по годам изучения.</w:t>
            </w:r>
          </w:p>
          <w:p w:rsidR="00A07AEB" w:rsidRPr="004A480C" w:rsidRDefault="00A07AEB" w:rsidP="00E82A31">
            <w:pPr>
              <w:spacing w:line="264" w:lineRule="auto"/>
              <w:jc w:val="both"/>
              <w:rPr>
                <w:sz w:val="24"/>
                <w:szCs w:val="24"/>
              </w:rPr>
            </w:pPr>
            <w:bookmarkStart w:id="1" w:name="_Toc139840030"/>
            <w:bookmarkEnd w:id="1"/>
            <w:r>
              <w:rPr>
                <w:sz w:val="24"/>
                <w:szCs w:val="24"/>
              </w:rPr>
              <w:t xml:space="preserve">   </w:t>
            </w:r>
            <w:r w:rsidRPr="004A48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КЛАСС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 освоения курса «Органическая химия» отражают: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-,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-,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-атомные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орбитали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основное и возбуждённое состояния атома, гибридизация атомных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орбиталей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ион, молекула, валентность,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ряд, гомологи, углеводороды, кислород-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мезомерный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эффекты,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ориентанты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рода);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фактологические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умений: выявлять характерные признаки понятий, устанавливать</w:t>
            </w:r>
            <w:r w:rsidRPr="004A48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взаимосвязь, использовать соответствующие понятия при описании состава, строения и свойств органических соединений;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умений: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уравнения химических реакций и раскрывать их сущность: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изготавливать модели молекул органических веществ для иллюстрации их химического и пространственного строения;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IUPAC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аланин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мальтоза, фруктоза, анилин, дивинил, изопрен, хлоропрен, стирол и другие);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определять вид химической связи в органических соединениях (ковалентная и ионная связь,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σ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π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-связь, водородная связь);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циклоалканов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алкадиенов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алкинов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ароматических углеводородов, спиртов, альдегидов, кетонов, карбоновых кислот, простых и сложных эфиров, жиров,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нитросоединений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аминов, аминокислот, белков, углеводов (моно-,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σ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π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-связи), взаимного влияния атомов и групп атомов в молекулах;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владения системой знаний о естественно-научных методах познания – наблюдении, измерении, моделировании, эксперименте (реальном и мысленном) и умения применять эти знания;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применять</w:t>
            </w:r>
            <w:r w:rsidRPr="004A48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умений: выявлять взаимосвязь химических знаний с понятиями и представлениями других естественно-научных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естественно-научную природу;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веществ, использовать</w:t>
            </w:r>
            <w:r w:rsidRPr="004A48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полученные знания для принятия грамотных решений проблем в ситуациях, связанных с химией;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      </w:r>
            <w:r w:rsidRPr="004A48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их достоверность;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умений: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опасность токсического действия на живые организмы определённых органических веществ, понимая смысл показателя ПДК;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целесообразность применения органических веществ в промышленности и в быту с точки зрения соотношения риск-польза;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КЛАСС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 освоения курса «Общая и неорганическая химия» отражают: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-,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-,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-атомные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орбитали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основное и возбуждённое состояния атома, гибридизация атомных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орбиталей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ион, молекула, валентность,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неэлектролиты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электролитическая диссоциация, степень диссоциации, водородный показатель, окислитель, восстановитель, тепловой эффект химической реакции, скорость химической реакции, химическое равновесие; теории и законы (теория электролитической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фактологические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IUPAC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) и тривиальные названия отдельных веществ;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-,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-,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-атомные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орбитали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», «основное и возбуждённое энергетические состояния атома»; объяснять</w:t>
            </w:r>
            <w:r w:rsidRPr="004A48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умений: характеризовать (описывать) общие химические свойства веществ различных классов, подтверждать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существование генетической связи между неорганическими веществами с помощью уравнений соответствующих химических реакций;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раскрывать сущность: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комплексообразования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примере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гидроксокомплексов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цинка и алюминия);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Шателье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веществ в промышленности и в быту с точки зрения соотношения риск-польза;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выявлять взаимосвязь химических знаний с понятиями и представлениями других естественно-научных предметов для более осознанного понимания материального единства мира;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представлять в различной форме результаты эксперимента, анализировать и оценивать</w:t>
            </w:r>
            <w:r w:rsidRPr="004A48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их достоверность;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      </w:r>
          </w:p>
          <w:p w:rsidR="00A07AEB" w:rsidRPr="004A480C" w:rsidRDefault="00A07AEB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      </w:r>
            <w:r w:rsidRPr="004A48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химическую информацию, перерабатывать</w:t>
            </w:r>
            <w:r w:rsidRPr="004A48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её и использовать</w:t>
            </w:r>
            <w:r w:rsidRPr="004A48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A480C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поставленной учебной задачей.</w:t>
            </w:r>
          </w:p>
          <w:p w:rsidR="00A07AEB" w:rsidRDefault="00A07AEB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EB" w:rsidRDefault="00A07AEB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A07AEB" w:rsidRDefault="00A07AEB" w:rsidP="00E82A3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5939DA">
              <w:rPr>
                <w:rFonts w:ascii="Times New Roman" w:hAnsi="Times New Roman"/>
                <w:color w:val="000000"/>
                <w:sz w:val="24"/>
              </w:rPr>
              <w:t>Теоретические основы органической химии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A07AEB" w:rsidRDefault="00A07AEB" w:rsidP="00E82A3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 2. Углеводороды.</w:t>
            </w:r>
          </w:p>
          <w:p w:rsidR="00A07AEB" w:rsidRDefault="00A07AEB" w:rsidP="00E82A3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 3. Кислородсодержащие органические соединения</w:t>
            </w:r>
          </w:p>
          <w:p w:rsidR="00A07AEB" w:rsidRDefault="00A07AEB" w:rsidP="00E82A3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 4. Азотсодержащие органические соединения.</w:t>
            </w:r>
          </w:p>
          <w:p w:rsidR="00A07AEB" w:rsidRDefault="00A07AEB" w:rsidP="00E82A3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 5. Высокомолекулярные соединения.</w:t>
            </w:r>
          </w:p>
          <w:p w:rsidR="00A07AEB" w:rsidRDefault="00A07AEB" w:rsidP="00E82A3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 класс</w:t>
            </w:r>
          </w:p>
          <w:p w:rsidR="00A07AEB" w:rsidRDefault="00A07AEB" w:rsidP="00E82A3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 1. Теоретические основы химии.</w:t>
            </w:r>
          </w:p>
          <w:p w:rsidR="00A07AEB" w:rsidRDefault="00A07AEB" w:rsidP="00E82A3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 2. Неорганическая химия.</w:t>
            </w:r>
          </w:p>
          <w:p w:rsidR="00A07AEB" w:rsidRDefault="00A07AEB" w:rsidP="00E82A3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 3. Химия и жизнь.</w:t>
            </w:r>
          </w:p>
          <w:p w:rsidR="00A07AEB" w:rsidRDefault="00A07AEB" w:rsidP="00E82A31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A07AEB" w:rsidRPr="00DD6125" w:rsidRDefault="00A07AEB" w:rsidP="00E82A3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Химия 10 – 11 класс. Ерёмин В.В., Кузьменко Н.Е.,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Теренин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В.И., Дроздов В.А., Лунин В.В.; под редакцией Лунина В.В. АО «Издательство «Просвещение», ООО «Дрофа»</w:t>
            </w:r>
          </w:p>
        </w:tc>
      </w:tr>
    </w:tbl>
    <w:p w:rsidR="00A32BA9" w:rsidRDefault="00A07AEB"/>
    <w:sectPr w:rsidR="00A3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EB"/>
    <w:rsid w:val="00140E6F"/>
    <w:rsid w:val="006F6D65"/>
    <w:rsid w:val="00A0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80D5"/>
  <w15:chartTrackingRefBased/>
  <w15:docId w15:val="{99E008F1-5436-4C7F-94FE-998A7069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4071</Words>
  <Characters>23206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312</dc:creator>
  <cp:keywords/>
  <dc:description/>
  <cp:lastModifiedBy>Acer 312</cp:lastModifiedBy>
  <cp:revision>1</cp:revision>
  <dcterms:created xsi:type="dcterms:W3CDTF">2023-11-27T08:49:00Z</dcterms:created>
  <dcterms:modified xsi:type="dcterms:W3CDTF">2023-11-27T08:52:00Z</dcterms:modified>
</cp:coreProperties>
</file>